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FF" w:rsidRDefault="001253FF" w:rsidP="001253FF">
      <w:pPr>
        <w:shd w:val="clear" w:color="auto" w:fill="FFFFFF"/>
      </w:pPr>
      <w:r>
        <w:rPr>
          <w:b/>
          <w:bCs/>
          <w:color w:val="000000"/>
        </w:rPr>
        <w:t>From:</w:t>
      </w:r>
      <w:r>
        <w:rPr>
          <w:color w:val="000000"/>
        </w:rPr>
        <w:t xml:space="preserve"> Kiefer, Ed P. &lt;</w:t>
      </w:r>
      <w:hyperlink r:id="rId4" w:tgtFrame="_blank" w:history="1">
        <w:r>
          <w:rPr>
            <w:rStyle w:val="Hyperlink"/>
          </w:rPr>
          <w:t>Ed.Kiefer@morcinc.org</w:t>
        </w:r>
      </w:hyperlink>
      <w:r>
        <w:rPr>
          <w:color w:val="000000"/>
        </w:rPr>
        <w:t>&gt;</w:t>
      </w:r>
      <w:r>
        <w:rPr>
          <w:color w:val="000000"/>
        </w:rPr>
        <w:br/>
      </w:r>
      <w:r>
        <w:rPr>
          <w:b/>
          <w:bCs/>
          <w:color w:val="000000"/>
        </w:rPr>
        <w:t>Sent:</w:t>
      </w:r>
      <w:r>
        <w:rPr>
          <w:color w:val="000000"/>
        </w:rPr>
        <w:t xml:space="preserve"> Tuesday, March 17, 2020 4:12 PM</w:t>
      </w:r>
      <w:r>
        <w:rPr>
          <w:color w:val="000000"/>
        </w:rPr>
        <w:br/>
      </w:r>
      <w:r>
        <w:rPr>
          <w:b/>
          <w:bCs/>
          <w:color w:val="000000"/>
        </w:rPr>
        <w:t>Subject:</w:t>
      </w:r>
      <w:r>
        <w:rPr>
          <w:color w:val="000000"/>
        </w:rPr>
        <w:t xml:space="preserve"> MORC Training's Response Plan to Support Your Workforce Training During Time</w:t>
      </w:r>
      <w:r>
        <w:rPr>
          <w:color w:val="282828"/>
          <w:sz w:val="24"/>
          <w:szCs w:val="24"/>
        </w:rPr>
        <w:t xml:space="preserve"> </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Hello Providers,</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 xml:space="preserve">First </w:t>
      </w:r>
      <w:proofErr w:type="gramStart"/>
      <w:r>
        <w:rPr>
          <w:color w:val="282828"/>
          <w:sz w:val="24"/>
          <w:szCs w:val="24"/>
        </w:rPr>
        <w:t>off,  We</w:t>
      </w:r>
      <w:proofErr w:type="gramEnd"/>
      <w:r>
        <w:rPr>
          <w:color w:val="282828"/>
          <w:sz w:val="24"/>
          <w:szCs w:val="24"/>
        </w:rPr>
        <w:t xml:space="preserve"> at the MORC training department would like to thank you and your teams for all that you are doing to ensure safety during these unprecedented times.   As we’ve suspended all instructor led/classroom training at MORC until further notice, our team is busy developing the plans, materials, and technology to bring you and your teams the excellent skills and competencies you’ve come to expect from MORC Training.  Please be patient with us as we transition into a new phase of training delivery.  Because of our experience over the last several years of delivering training content through </w:t>
      </w:r>
      <w:proofErr w:type="gramStart"/>
      <w:r>
        <w:rPr>
          <w:color w:val="282828"/>
          <w:sz w:val="24"/>
          <w:szCs w:val="24"/>
        </w:rPr>
        <w:t>eLearning  platforms</w:t>
      </w:r>
      <w:proofErr w:type="gramEnd"/>
      <w:r>
        <w:rPr>
          <w:color w:val="282828"/>
          <w:sz w:val="24"/>
          <w:szCs w:val="24"/>
        </w:rPr>
        <w:t xml:space="preserve"> of both asynchronous (passive online) and synchronous (Live Webinar Broadcast) learning, we are positioning ourselves to bring you an online learning experience that will be beneficial for the integral role you play in providing the highest standards of care.   Please know if you and/or your team members are currently scheduled for a training after this week and starting Monday March 23</w:t>
      </w:r>
      <w:proofErr w:type="gramStart"/>
      <w:r>
        <w:rPr>
          <w:color w:val="282828"/>
          <w:sz w:val="24"/>
          <w:szCs w:val="24"/>
          <w:vertAlign w:val="superscript"/>
        </w:rPr>
        <w:t>rd</w:t>
      </w:r>
      <w:r>
        <w:rPr>
          <w:color w:val="282828"/>
          <w:sz w:val="24"/>
          <w:szCs w:val="24"/>
        </w:rPr>
        <w:t xml:space="preserve">  that</w:t>
      </w:r>
      <w:proofErr w:type="gramEnd"/>
      <w:r>
        <w:rPr>
          <w:color w:val="282828"/>
          <w:sz w:val="24"/>
          <w:szCs w:val="24"/>
        </w:rPr>
        <w:t xml:space="preserve"> it is our intention for you to still be able to attend; however, this will be a new experience in online learning.  You will be receiving further instructions on how you can participate in this online learning experience when we have all of the details worked out.  Please stay tuned for further details as we are able to share them.</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 xml:space="preserve">Thank you for all you are doing! </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To contact additional members of our training team:</w:t>
      </w:r>
    </w:p>
    <w:p w:rsidR="001253FF" w:rsidRDefault="001253FF" w:rsidP="001253FF">
      <w:pPr>
        <w:shd w:val="clear" w:color="auto" w:fill="FFFFFF"/>
      </w:pPr>
      <w:r>
        <w:rPr>
          <w:color w:val="282828"/>
          <w:sz w:val="24"/>
          <w:szCs w:val="24"/>
        </w:rPr>
        <w:t> </w:t>
      </w:r>
    </w:p>
    <w:tbl>
      <w:tblPr>
        <w:tblW w:w="0" w:type="auto"/>
        <w:tblLook w:val="04A0" w:firstRow="1" w:lastRow="0" w:firstColumn="1" w:lastColumn="0" w:noHBand="0" w:noVBand="1"/>
      </w:tblPr>
      <w:tblGrid>
        <w:gridCol w:w="1612"/>
        <w:gridCol w:w="2250"/>
        <w:gridCol w:w="2633"/>
        <w:gridCol w:w="1689"/>
      </w:tblGrid>
      <w:tr w:rsidR="001253FF" w:rsidTr="001253FF">
        <w:tc>
          <w:tcPr>
            <w:tcW w:w="1612" w:type="dxa"/>
            <w:tcBorders>
              <w:top w:val="single" w:sz="8" w:space="0" w:color="auto"/>
              <w:left w:val="single" w:sz="8" w:space="0" w:color="auto"/>
              <w:bottom w:val="single" w:sz="8" w:space="0" w:color="auto"/>
              <w:right w:val="single" w:sz="8" w:space="0" w:color="auto"/>
            </w:tcBorders>
            <w:hideMark/>
          </w:tcPr>
          <w:p w:rsidR="001253FF" w:rsidRDefault="001253FF">
            <w:pPr>
              <w:jc w:val="center"/>
            </w:pPr>
            <w:r>
              <w:rPr>
                <w:b/>
                <w:bCs/>
              </w:rPr>
              <w:t>Name</w:t>
            </w:r>
          </w:p>
        </w:tc>
        <w:tc>
          <w:tcPr>
            <w:tcW w:w="2250" w:type="dxa"/>
            <w:tcBorders>
              <w:top w:val="single" w:sz="8" w:space="0" w:color="auto"/>
              <w:left w:val="nil"/>
              <w:bottom w:val="single" w:sz="8" w:space="0" w:color="auto"/>
              <w:right w:val="single" w:sz="8" w:space="0" w:color="auto"/>
            </w:tcBorders>
            <w:hideMark/>
          </w:tcPr>
          <w:p w:rsidR="001253FF" w:rsidRDefault="001253FF">
            <w:pPr>
              <w:jc w:val="center"/>
            </w:pPr>
            <w:r>
              <w:rPr>
                <w:b/>
                <w:bCs/>
              </w:rPr>
              <w:t>Title</w:t>
            </w:r>
          </w:p>
        </w:tc>
        <w:tc>
          <w:tcPr>
            <w:tcW w:w="2631" w:type="dxa"/>
            <w:tcBorders>
              <w:top w:val="single" w:sz="8" w:space="0" w:color="auto"/>
              <w:left w:val="nil"/>
              <w:bottom w:val="single" w:sz="8" w:space="0" w:color="auto"/>
              <w:right w:val="single" w:sz="8" w:space="0" w:color="auto"/>
            </w:tcBorders>
            <w:hideMark/>
          </w:tcPr>
          <w:p w:rsidR="001253FF" w:rsidRDefault="001253FF">
            <w:pPr>
              <w:jc w:val="center"/>
            </w:pPr>
            <w:r>
              <w:rPr>
                <w:b/>
                <w:bCs/>
              </w:rPr>
              <w:t>Email Contact</w:t>
            </w:r>
          </w:p>
        </w:tc>
        <w:tc>
          <w:tcPr>
            <w:tcW w:w="1689" w:type="dxa"/>
            <w:tcBorders>
              <w:top w:val="single" w:sz="8" w:space="0" w:color="auto"/>
              <w:left w:val="nil"/>
              <w:bottom w:val="single" w:sz="8" w:space="0" w:color="auto"/>
              <w:right w:val="single" w:sz="8" w:space="0" w:color="auto"/>
            </w:tcBorders>
            <w:hideMark/>
          </w:tcPr>
          <w:p w:rsidR="001253FF" w:rsidRDefault="001253FF">
            <w:pPr>
              <w:jc w:val="center"/>
            </w:pPr>
            <w:r>
              <w:rPr>
                <w:b/>
                <w:bCs/>
              </w:rPr>
              <w:t>Phone Contact</w:t>
            </w:r>
          </w:p>
        </w:tc>
      </w:tr>
      <w:tr w:rsidR="001253FF" w:rsidTr="001253FF">
        <w:tc>
          <w:tcPr>
            <w:tcW w:w="1612" w:type="dxa"/>
            <w:tcBorders>
              <w:top w:val="nil"/>
              <w:left w:val="single" w:sz="8" w:space="0" w:color="auto"/>
              <w:bottom w:val="single" w:sz="8" w:space="0" w:color="auto"/>
              <w:right w:val="single" w:sz="8" w:space="0" w:color="auto"/>
            </w:tcBorders>
            <w:hideMark/>
          </w:tcPr>
          <w:p w:rsidR="001253FF" w:rsidRDefault="001253FF">
            <w:r>
              <w:t xml:space="preserve">Kym </w:t>
            </w:r>
            <w:proofErr w:type="spellStart"/>
            <w:r>
              <w:t>Juntti</w:t>
            </w:r>
            <w:proofErr w:type="spellEnd"/>
          </w:p>
        </w:tc>
        <w:tc>
          <w:tcPr>
            <w:tcW w:w="2250" w:type="dxa"/>
            <w:tcBorders>
              <w:top w:val="nil"/>
              <w:left w:val="nil"/>
              <w:bottom w:val="single" w:sz="8" w:space="0" w:color="auto"/>
              <w:right w:val="single" w:sz="8" w:space="0" w:color="auto"/>
            </w:tcBorders>
            <w:hideMark/>
          </w:tcPr>
          <w:p w:rsidR="001253FF" w:rsidRDefault="001253FF">
            <w:r>
              <w:t>Training Director</w:t>
            </w:r>
          </w:p>
        </w:tc>
        <w:tc>
          <w:tcPr>
            <w:tcW w:w="2631" w:type="dxa"/>
            <w:tcBorders>
              <w:top w:val="nil"/>
              <w:left w:val="nil"/>
              <w:bottom w:val="single" w:sz="8" w:space="0" w:color="auto"/>
              <w:right w:val="single" w:sz="8" w:space="0" w:color="auto"/>
            </w:tcBorders>
            <w:hideMark/>
          </w:tcPr>
          <w:p w:rsidR="001253FF" w:rsidRDefault="001253FF">
            <w:hyperlink r:id="rId5" w:tgtFrame="_blank" w:history="1">
              <w:r>
                <w:rPr>
                  <w:rStyle w:val="Hyperlink"/>
                </w:rPr>
                <w:t>Kym.juntti@morcinc.org</w:t>
              </w:r>
            </w:hyperlink>
          </w:p>
        </w:tc>
        <w:tc>
          <w:tcPr>
            <w:tcW w:w="1689" w:type="dxa"/>
            <w:tcBorders>
              <w:top w:val="nil"/>
              <w:left w:val="nil"/>
              <w:bottom w:val="single" w:sz="8" w:space="0" w:color="auto"/>
              <w:right w:val="single" w:sz="8" w:space="0" w:color="auto"/>
            </w:tcBorders>
            <w:hideMark/>
          </w:tcPr>
          <w:p w:rsidR="001253FF" w:rsidRDefault="001253FF">
            <w:r>
              <w:t>248-276-8084</w:t>
            </w:r>
          </w:p>
        </w:tc>
      </w:tr>
      <w:tr w:rsidR="001253FF" w:rsidTr="001253FF">
        <w:tc>
          <w:tcPr>
            <w:tcW w:w="1612" w:type="dxa"/>
            <w:tcBorders>
              <w:top w:val="nil"/>
              <w:left w:val="single" w:sz="8" w:space="0" w:color="auto"/>
              <w:bottom w:val="single" w:sz="8" w:space="0" w:color="auto"/>
              <w:right w:val="single" w:sz="8" w:space="0" w:color="auto"/>
            </w:tcBorders>
            <w:hideMark/>
          </w:tcPr>
          <w:p w:rsidR="001253FF" w:rsidRDefault="001253FF">
            <w:r>
              <w:t xml:space="preserve">April </w:t>
            </w:r>
            <w:proofErr w:type="spellStart"/>
            <w:r>
              <w:t>Strnad</w:t>
            </w:r>
            <w:proofErr w:type="spellEnd"/>
          </w:p>
        </w:tc>
        <w:tc>
          <w:tcPr>
            <w:tcW w:w="2250" w:type="dxa"/>
            <w:tcBorders>
              <w:top w:val="nil"/>
              <w:left w:val="nil"/>
              <w:bottom w:val="single" w:sz="8" w:space="0" w:color="auto"/>
              <w:right w:val="single" w:sz="8" w:space="0" w:color="auto"/>
            </w:tcBorders>
            <w:hideMark/>
          </w:tcPr>
          <w:p w:rsidR="001253FF" w:rsidRDefault="001253FF">
            <w:r>
              <w:t>System Administrator</w:t>
            </w:r>
          </w:p>
        </w:tc>
        <w:tc>
          <w:tcPr>
            <w:tcW w:w="2631" w:type="dxa"/>
            <w:tcBorders>
              <w:top w:val="nil"/>
              <w:left w:val="nil"/>
              <w:bottom w:val="single" w:sz="8" w:space="0" w:color="auto"/>
              <w:right w:val="single" w:sz="8" w:space="0" w:color="auto"/>
            </w:tcBorders>
            <w:hideMark/>
          </w:tcPr>
          <w:p w:rsidR="001253FF" w:rsidRDefault="001253FF">
            <w:hyperlink r:id="rId6" w:tgtFrame="_blank" w:history="1">
              <w:r>
                <w:rPr>
                  <w:rStyle w:val="Hyperlink"/>
                </w:rPr>
                <w:t>April.strnad@morcinc.org</w:t>
              </w:r>
            </w:hyperlink>
          </w:p>
        </w:tc>
        <w:tc>
          <w:tcPr>
            <w:tcW w:w="1689" w:type="dxa"/>
            <w:tcBorders>
              <w:top w:val="nil"/>
              <w:left w:val="nil"/>
              <w:bottom w:val="single" w:sz="8" w:space="0" w:color="auto"/>
              <w:right w:val="single" w:sz="8" w:space="0" w:color="auto"/>
            </w:tcBorders>
            <w:hideMark/>
          </w:tcPr>
          <w:p w:rsidR="001253FF" w:rsidRDefault="001253FF">
            <w:r>
              <w:t>586-263-8762</w:t>
            </w:r>
          </w:p>
        </w:tc>
      </w:tr>
      <w:tr w:rsidR="001253FF" w:rsidTr="001253FF">
        <w:tc>
          <w:tcPr>
            <w:tcW w:w="1612" w:type="dxa"/>
            <w:tcBorders>
              <w:top w:val="nil"/>
              <w:left w:val="single" w:sz="8" w:space="0" w:color="auto"/>
              <w:bottom w:val="single" w:sz="8" w:space="0" w:color="auto"/>
              <w:right w:val="single" w:sz="8" w:space="0" w:color="auto"/>
            </w:tcBorders>
            <w:hideMark/>
          </w:tcPr>
          <w:p w:rsidR="001253FF" w:rsidRDefault="001253FF">
            <w:r>
              <w:t>Robyn Frantz</w:t>
            </w:r>
          </w:p>
        </w:tc>
        <w:tc>
          <w:tcPr>
            <w:tcW w:w="2250" w:type="dxa"/>
            <w:tcBorders>
              <w:top w:val="nil"/>
              <w:left w:val="nil"/>
              <w:bottom w:val="single" w:sz="8" w:space="0" w:color="auto"/>
              <w:right w:val="single" w:sz="8" w:space="0" w:color="auto"/>
            </w:tcBorders>
            <w:hideMark/>
          </w:tcPr>
          <w:p w:rsidR="001253FF" w:rsidRDefault="001253FF">
            <w:r>
              <w:t>Office Manager</w:t>
            </w:r>
          </w:p>
        </w:tc>
        <w:tc>
          <w:tcPr>
            <w:tcW w:w="2631" w:type="dxa"/>
            <w:tcBorders>
              <w:top w:val="nil"/>
              <w:left w:val="nil"/>
              <w:bottom w:val="single" w:sz="8" w:space="0" w:color="auto"/>
              <w:right w:val="single" w:sz="8" w:space="0" w:color="auto"/>
            </w:tcBorders>
            <w:hideMark/>
          </w:tcPr>
          <w:p w:rsidR="001253FF" w:rsidRDefault="001253FF">
            <w:hyperlink r:id="rId7" w:tgtFrame="_blank" w:history="1">
              <w:r>
                <w:rPr>
                  <w:rStyle w:val="Hyperlink"/>
                </w:rPr>
                <w:t>Robyn.frantz@morcinc.org</w:t>
              </w:r>
            </w:hyperlink>
          </w:p>
        </w:tc>
        <w:tc>
          <w:tcPr>
            <w:tcW w:w="1689" w:type="dxa"/>
            <w:tcBorders>
              <w:top w:val="nil"/>
              <w:left w:val="nil"/>
              <w:bottom w:val="single" w:sz="8" w:space="0" w:color="auto"/>
              <w:right w:val="single" w:sz="8" w:space="0" w:color="auto"/>
            </w:tcBorders>
            <w:hideMark/>
          </w:tcPr>
          <w:p w:rsidR="001253FF" w:rsidRDefault="001253FF">
            <w:r>
              <w:t>248-276-8033</w:t>
            </w:r>
          </w:p>
        </w:tc>
      </w:tr>
      <w:tr w:rsidR="001253FF" w:rsidTr="001253FF">
        <w:tc>
          <w:tcPr>
            <w:tcW w:w="1612" w:type="dxa"/>
            <w:tcBorders>
              <w:top w:val="nil"/>
              <w:left w:val="single" w:sz="8" w:space="0" w:color="auto"/>
              <w:bottom w:val="single" w:sz="8" w:space="0" w:color="auto"/>
              <w:right w:val="single" w:sz="8" w:space="0" w:color="auto"/>
            </w:tcBorders>
            <w:hideMark/>
          </w:tcPr>
          <w:p w:rsidR="001253FF" w:rsidRDefault="001253FF">
            <w:r>
              <w:t>Ed Kiefer</w:t>
            </w:r>
          </w:p>
        </w:tc>
        <w:tc>
          <w:tcPr>
            <w:tcW w:w="2250" w:type="dxa"/>
            <w:tcBorders>
              <w:top w:val="nil"/>
              <w:left w:val="nil"/>
              <w:bottom w:val="single" w:sz="8" w:space="0" w:color="auto"/>
              <w:right w:val="single" w:sz="8" w:space="0" w:color="auto"/>
            </w:tcBorders>
            <w:hideMark/>
          </w:tcPr>
          <w:p w:rsidR="001253FF" w:rsidRDefault="001253FF">
            <w:r>
              <w:t>Training Supervisor</w:t>
            </w:r>
          </w:p>
        </w:tc>
        <w:tc>
          <w:tcPr>
            <w:tcW w:w="2631" w:type="dxa"/>
            <w:tcBorders>
              <w:top w:val="nil"/>
              <w:left w:val="nil"/>
              <w:bottom w:val="single" w:sz="8" w:space="0" w:color="auto"/>
              <w:right w:val="single" w:sz="8" w:space="0" w:color="auto"/>
            </w:tcBorders>
            <w:hideMark/>
          </w:tcPr>
          <w:p w:rsidR="001253FF" w:rsidRDefault="001253FF">
            <w:hyperlink r:id="rId8" w:tgtFrame="_blank" w:history="1">
              <w:r>
                <w:rPr>
                  <w:rStyle w:val="Hyperlink"/>
                </w:rPr>
                <w:t>Ed.kiefer@morcinc.org</w:t>
              </w:r>
            </w:hyperlink>
          </w:p>
        </w:tc>
        <w:tc>
          <w:tcPr>
            <w:tcW w:w="1689" w:type="dxa"/>
            <w:tcBorders>
              <w:top w:val="nil"/>
              <w:left w:val="nil"/>
              <w:bottom w:val="single" w:sz="8" w:space="0" w:color="auto"/>
              <w:right w:val="single" w:sz="8" w:space="0" w:color="auto"/>
            </w:tcBorders>
            <w:hideMark/>
          </w:tcPr>
          <w:p w:rsidR="001253FF" w:rsidRDefault="001253FF">
            <w:r>
              <w:t>586-292-5825</w:t>
            </w:r>
          </w:p>
        </w:tc>
      </w:tr>
    </w:tbl>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color w:val="282828"/>
          <w:sz w:val="24"/>
          <w:szCs w:val="24"/>
        </w:rPr>
        <w:t> </w:t>
      </w:r>
    </w:p>
    <w:p w:rsidR="001253FF" w:rsidRDefault="001253FF" w:rsidP="001253FF">
      <w:pPr>
        <w:shd w:val="clear" w:color="auto" w:fill="FFFFFF"/>
      </w:pPr>
      <w:r>
        <w:rPr>
          <w:b/>
          <w:bCs/>
          <w:noProof/>
          <w:color w:val="282828"/>
          <w:sz w:val="24"/>
          <w:szCs w:val="24"/>
        </w:rPr>
        <w:drawing>
          <wp:inline distT="0" distB="0" distL="0" distR="0">
            <wp:extent cx="1971675" cy="581025"/>
            <wp:effectExtent l="0" t="0" r="9525" b="9525"/>
            <wp:docPr id="1" name="Picture 1" descr="MORC_logo_final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C_logo_final_horizontal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r>
        <w:rPr>
          <w:color w:val="282828"/>
          <w:sz w:val="24"/>
          <w:szCs w:val="24"/>
        </w:rPr>
        <w:t> </w:t>
      </w:r>
    </w:p>
    <w:p w:rsidR="001253FF" w:rsidRDefault="001253FF" w:rsidP="001253FF">
      <w:pPr>
        <w:shd w:val="clear" w:color="auto" w:fill="FFFFFF"/>
      </w:pPr>
      <w:r>
        <w:rPr>
          <w:b/>
          <w:bCs/>
          <w:color w:val="282828"/>
          <w:sz w:val="24"/>
          <w:szCs w:val="24"/>
        </w:rPr>
        <w:t>Ed Kiefer</w:t>
      </w:r>
    </w:p>
    <w:p w:rsidR="001253FF" w:rsidRDefault="001253FF" w:rsidP="001253FF">
      <w:pPr>
        <w:shd w:val="clear" w:color="auto" w:fill="FFFFFF"/>
      </w:pPr>
      <w:r>
        <w:rPr>
          <w:color w:val="282828"/>
          <w:sz w:val="24"/>
          <w:szCs w:val="24"/>
        </w:rPr>
        <w:t>Training Supervisor</w:t>
      </w:r>
    </w:p>
    <w:p w:rsidR="001253FF" w:rsidRDefault="001253FF" w:rsidP="001253FF">
      <w:pPr>
        <w:shd w:val="clear" w:color="auto" w:fill="FFFFFF"/>
      </w:pPr>
      <w:r>
        <w:rPr>
          <w:color w:val="282828"/>
          <w:sz w:val="24"/>
          <w:szCs w:val="24"/>
        </w:rPr>
        <w:t xml:space="preserve">Macomb Oakland Regional Center, Inc. </w:t>
      </w:r>
      <w:hyperlink r:id="rId10" w:tgtFrame="_blank" w:history="1">
        <w:r>
          <w:rPr>
            <w:rStyle w:val="Hyperlink"/>
            <w:sz w:val="24"/>
            <w:szCs w:val="24"/>
          </w:rPr>
          <w:t>website link</w:t>
        </w:r>
      </w:hyperlink>
    </w:p>
    <w:p w:rsidR="001253FF" w:rsidRDefault="001253FF" w:rsidP="001253FF">
      <w:pPr>
        <w:shd w:val="clear" w:color="auto" w:fill="FFFFFF"/>
      </w:pPr>
      <w:r>
        <w:rPr>
          <w:color w:val="282828"/>
          <w:sz w:val="24"/>
          <w:szCs w:val="24"/>
        </w:rPr>
        <w:t xml:space="preserve">The Center for Positive Living Supports </w:t>
      </w:r>
      <w:r>
        <w:rPr>
          <w:i/>
          <w:iCs/>
          <w:color w:val="282828"/>
          <w:sz w:val="16"/>
          <w:szCs w:val="16"/>
        </w:rPr>
        <w:t>(A Division of MORC Inc.)</w:t>
      </w:r>
    </w:p>
    <w:p w:rsidR="0029372B" w:rsidRDefault="0029372B">
      <w:bookmarkStart w:id="0" w:name="_GoBack"/>
      <w:bookmarkEnd w:id="0"/>
    </w:p>
    <w:sectPr w:rsidR="0029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FF"/>
    <w:rsid w:val="001253FF"/>
    <w:rsid w:val="0029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DDF2-0C09-46AB-9009-76801167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F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kiefer@morcinc.org" TargetMode="External"/><Relationship Id="rId3" Type="http://schemas.openxmlformats.org/officeDocument/2006/relationships/webSettings" Target="webSettings.xml"/><Relationship Id="rId7" Type="http://schemas.openxmlformats.org/officeDocument/2006/relationships/hyperlink" Target="mailto:Robyn.frantz@morci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strnad@morcinc.org" TargetMode="External"/><Relationship Id="rId11" Type="http://schemas.openxmlformats.org/officeDocument/2006/relationships/fontTable" Target="fontTable.xml"/><Relationship Id="rId5" Type="http://schemas.openxmlformats.org/officeDocument/2006/relationships/hyperlink" Target="mailto:Kym.juntti@morcinc.org" TargetMode="External"/><Relationship Id="rId10" Type="http://schemas.openxmlformats.org/officeDocument/2006/relationships/hyperlink" Target="http://www.morcinc.org/training" TargetMode="External"/><Relationship Id="rId4" Type="http://schemas.openxmlformats.org/officeDocument/2006/relationships/hyperlink" Target="mailto:Ed.Kiefer@morcinc.or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Raad</dc:creator>
  <cp:keywords/>
  <dc:description/>
  <cp:lastModifiedBy>Sandra Raad</cp:lastModifiedBy>
  <cp:revision>1</cp:revision>
  <dcterms:created xsi:type="dcterms:W3CDTF">2020-03-18T13:06:00Z</dcterms:created>
  <dcterms:modified xsi:type="dcterms:W3CDTF">2020-03-18T13:07:00Z</dcterms:modified>
</cp:coreProperties>
</file>