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A3D" w:rsidRDefault="004E2A3D" w:rsidP="004E2A3D">
      <w:r>
        <w:rPr>
          <w:noProof/>
        </w:rPr>
        <w:drawing>
          <wp:inline distT="0" distB="0" distL="0" distR="0">
            <wp:extent cx="6610350" cy="19050"/>
            <wp:effectExtent l="0" t="0" r="0" b="0"/>
            <wp:docPr id="1" name="Picture 1" descr="C:\Users\Sandra Raad\AppData\Local\Packages\microsoft.windowscommunicationsapps_8wekyb3d8bbwe\TempState\msohtmlclip\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 Raad\AppData\Local\Packages\microsoft.windowscommunicationsapps_8wekyb3d8bbwe\TempState\msohtmlclip\clip_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0350" cy="19050"/>
                    </a:xfrm>
                    <a:prstGeom prst="rect">
                      <a:avLst/>
                    </a:prstGeom>
                    <a:noFill/>
                    <a:ln>
                      <a:noFill/>
                    </a:ln>
                  </pic:spPr>
                </pic:pic>
              </a:graphicData>
            </a:graphic>
          </wp:inline>
        </w:drawing>
      </w:r>
    </w:p>
    <w:p w:rsidR="004E2A3D" w:rsidRDefault="004E2A3D" w:rsidP="004E2A3D">
      <w:r>
        <w:rPr>
          <w:b/>
          <w:bCs/>
          <w:color w:val="000000"/>
        </w:rPr>
        <w:t>From:</w:t>
      </w:r>
      <w:r>
        <w:rPr>
          <w:color w:val="000000"/>
        </w:rPr>
        <w:t xml:space="preserve"> Matt Hoffman &lt;matt@afiahealth.com&gt;</w:t>
      </w:r>
      <w:r>
        <w:rPr>
          <w:color w:val="000000"/>
        </w:rPr>
        <w:br/>
      </w:r>
      <w:r>
        <w:rPr>
          <w:b/>
          <w:bCs/>
          <w:color w:val="000000"/>
        </w:rPr>
        <w:t>Sent:</w:t>
      </w:r>
      <w:r>
        <w:rPr>
          <w:color w:val="000000"/>
        </w:rPr>
        <w:t xml:space="preserve"> Tuesday, March 24, 2020 10:36 AM</w:t>
      </w:r>
      <w:r>
        <w:rPr>
          <w:color w:val="000000"/>
        </w:rPr>
        <w:br/>
      </w:r>
      <w:r>
        <w:rPr>
          <w:b/>
          <w:bCs/>
          <w:color w:val="000000"/>
        </w:rPr>
        <w:t>To:</w:t>
      </w:r>
      <w:r>
        <w:rPr>
          <w:color w:val="000000"/>
        </w:rPr>
        <w:t xml:space="preserve"> Cristina </w:t>
      </w:r>
      <w:proofErr w:type="spellStart"/>
      <w:r>
        <w:rPr>
          <w:color w:val="000000"/>
        </w:rPr>
        <w:t>Mosella</w:t>
      </w:r>
      <w:proofErr w:type="spellEnd"/>
      <w:r>
        <w:rPr>
          <w:color w:val="000000"/>
        </w:rPr>
        <w:t xml:space="preserve"> &lt;Cristina.Mosella@mccmh.net&gt;</w:t>
      </w:r>
      <w:r>
        <w:rPr>
          <w:color w:val="000000"/>
        </w:rPr>
        <w:br/>
      </w:r>
      <w:r>
        <w:rPr>
          <w:b/>
          <w:bCs/>
          <w:color w:val="000000"/>
        </w:rPr>
        <w:t>Subject:</w:t>
      </w:r>
      <w:r>
        <w:rPr>
          <w:color w:val="000000"/>
        </w:rPr>
        <w:t xml:space="preserve"> Weathering the Financial Impact of the COVID-19 Storm</w:t>
      </w:r>
      <w:r>
        <w:t xml:space="preserve"> </w:t>
      </w:r>
    </w:p>
    <w:p w:rsidR="004E2A3D" w:rsidRDefault="004E2A3D" w:rsidP="004E2A3D">
      <w:r>
        <w:t> </w:t>
      </w:r>
    </w:p>
    <w:p w:rsidR="004E2A3D" w:rsidRDefault="004E2A3D" w:rsidP="004E2A3D">
      <w:r>
        <w:rPr>
          <w:color w:val="8C8C8C"/>
          <w:sz w:val="2"/>
          <w:szCs w:val="2"/>
        </w:rPr>
        <w:t xml:space="preserve">Actionable ideas about the financial metrics and concepts to monitor during COVID-19 from </w:t>
      </w:r>
      <w:proofErr w:type="spellStart"/>
      <w:r>
        <w:rPr>
          <w:color w:val="8C8C8C"/>
          <w:sz w:val="2"/>
          <w:szCs w:val="2"/>
        </w:rPr>
        <w:t>Afia's</w:t>
      </w:r>
      <w:proofErr w:type="spellEnd"/>
      <w:r>
        <w:rPr>
          <w:color w:val="8C8C8C"/>
          <w:sz w:val="2"/>
          <w:szCs w:val="2"/>
        </w:rPr>
        <w:t xml:space="preserve"> VP of Financial Strategy</w:t>
      </w:r>
    </w:p>
    <w:tbl>
      <w:tblPr>
        <w:tblW w:w="5000" w:type="pct"/>
        <w:tblLook w:val="04A0" w:firstRow="1" w:lastRow="0" w:firstColumn="1" w:lastColumn="0" w:noHBand="0" w:noVBand="1"/>
      </w:tblPr>
      <w:tblGrid>
        <w:gridCol w:w="10800"/>
      </w:tblGrid>
      <w:tr w:rsidR="004E2A3D" w:rsidTr="004E2A3D">
        <w:tc>
          <w:tcPr>
            <w:tcW w:w="0" w:type="auto"/>
            <w:tcMar>
              <w:top w:w="0" w:type="dxa"/>
              <w:left w:w="0" w:type="dxa"/>
              <w:bottom w:w="0" w:type="dxa"/>
              <w:right w:w="0" w:type="dxa"/>
            </w:tcMar>
            <w:hideMark/>
          </w:tcPr>
          <w:tbl>
            <w:tblPr>
              <w:tblW w:w="5000" w:type="pct"/>
              <w:tblLook w:val="04A0" w:firstRow="1" w:lastRow="0" w:firstColumn="1" w:lastColumn="0" w:noHBand="0" w:noVBand="1"/>
            </w:tblPr>
            <w:tblGrid>
              <w:gridCol w:w="10800"/>
            </w:tblGrid>
            <w:tr w:rsidR="004E2A3D">
              <w:tc>
                <w:tcPr>
                  <w:tcW w:w="0" w:type="auto"/>
                  <w:tcMar>
                    <w:top w:w="150" w:type="dxa"/>
                    <w:left w:w="300" w:type="dxa"/>
                    <w:bottom w:w="150" w:type="dxa"/>
                    <w:right w:w="300" w:type="dxa"/>
                  </w:tcMar>
                  <w:hideMark/>
                </w:tcPr>
                <w:p w:rsidR="004E2A3D" w:rsidRDefault="004E2A3D"/>
              </w:tc>
            </w:tr>
            <w:tr w:rsidR="004E2A3D">
              <w:tc>
                <w:tcPr>
                  <w:tcW w:w="0" w:type="auto"/>
                  <w:tcMar>
                    <w:top w:w="150" w:type="dxa"/>
                    <w:left w:w="300" w:type="dxa"/>
                    <w:bottom w:w="150" w:type="dxa"/>
                    <w:right w:w="300" w:type="dxa"/>
                  </w:tcMar>
                  <w:vAlign w:val="center"/>
                  <w:hideMark/>
                </w:tcPr>
                <w:p w:rsidR="004E2A3D" w:rsidRDefault="004E2A3D">
                  <w:pPr>
                    <w:pStyle w:val="NormalWeb"/>
                    <w:spacing w:line="420" w:lineRule="auto"/>
                  </w:pPr>
                  <w:r>
                    <w:rPr>
                      <w:rFonts w:ascii="Arial" w:hAnsi="Arial" w:cs="Arial"/>
                      <w:color w:val="454545"/>
                      <w:sz w:val="23"/>
                      <w:szCs w:val="23"/>
                    </w:rPr>
                    <w:t>Good morning,</w:t>
                  </w:r>
                </w:p>
                <w:p w:rsidR="004E2A3D" w:rsidRDefault="004E2A3D">
                  <w:pPr>
                    <w:pStyle w:val="NormalWeb"/>
                    <w:spacing w:line="420" w:lineRule="auto"/>
                  </w:pPr>
                  <w:r>
                    <w:rPr>
                      <w:rFonts w:ascii="Arial" w:hAnsi="Arial" w:cs="Arial"/>
                      <w:color w:val="454545"/>
                      <w:sz w:val="23"/>
                      <w:szCs w:val="23"/>
                    </w:rPr>
                    <w:t> </w:t>
                  </w:r>
                </w:p>
                <w:p w:rsidR="004E2A3D" w:rsidRDefault="004E2A3D">
                  <w:pPr>
                    <w:pStyle w:val="NormalWeb"/>
                    <w:spacing w:line="420" w:lineRule="auto"/>
                  </w:pPr>
                  <w:r>
                    <w:rPr>
                      <w:rFonts w:ascii="Arial" w:hAnsi="Arial" w:cs="Arial"/>
                      <w:color w:val="454545"/>
                      <w:sz w:val="23"/>
                      <w:szCs w:val="23"/>
                    </w:rPr>
                    <w:t xml:space="preserve">Below is a message from </w:t>
                  </w:r>
                  <w:proofErr w:type="spellStart"/>
                  <w:r>
                    <w:rPr>
                      <w:rFonts w:ascii="Arial" w:hAnsi="Arial" w:cs="Arial"/>
                      <w:color w:val="454545"/>
                      <w:sz w:val="23"/>
                      <w:szCs w:val="23"/>
                    </w:rPr>
                    <w:t>Afia's</w:t>
                  </w:r>
                  <w:proofErr w:type="spellEnd"/>
                  <w:r>
                    <w:rPr>
                      <w:rFonts w:ascii="Arial" w:hAnsi="Arial" w:cs="Arial"/>
                      <w:color w:val="454545"/>
                      <w:sz w:val="23"/>
                      <w:szCs w:val="23"/>
                    </w:rPr>
                    <w:t xml:space="preserve"> VP of Financial Strategy, </w:t>
                  </w:r>
                  <w:hyperlink r:id="rId6" w:tgtFrame="_blank" w:history="1">
                    <w:r>
                      <w:rPr>
                        <w:rStyle w:val="Hyperlink"/>
                        <w:rFonts w:ascii="Arial" w:hAnsi="Arial" w:cs="Arial"/>
                        <w:color w:val="00A4BD"/>
                        <w:sz w:val="23"/>
                        <w:szCs w:val="23"/>
                      </w:rPr>
                      <w:t xml:space="preserve">Cynthia </w:t>
                    </w:r>
                    <w:proofErr w:type="spellStart"/>
                    <w:r>
                      <w:rPr>
                        <w:rStyle w:val="Hyperlink"/>
                        <w:rFonts w:ascii="Arial" w:hAnsi="Arial" w:cs="Arial"/>
                        <w:color w:val="00A4BD"/>
                        <w:sz w:val="23"/>
                        <w:szCs w:val="23"/>
                      </w:rPr>
                      <w:t>Sikina</w:t>
                    </w:r>
                    <w:proofErr w:type="spellEnd"/>
                  </w:hyperlink>
                  <w:r>
                    <w:rPr>
                      <w:rFonts w:ascii="Arial" w:hAnsi="Arial" w:cs="Arial"/>
                      <w:color w:val="454545"/>
                      <w:sz w:val="23"/>
                      <w:szCs w:val="23"/>
                    </w:rPr>
                    <w:t>, that highlights thoughts and ideas for monitoring your financial health during this difficult time.</w:t>
                  </w:r>
                </w:p>
                <w:p w:rsidR="004E2A3D" w:rsidRDefault="004E2A3D">
                  <w:pPr>
                    <w:pStyle w:val="NormalWeb"/>
                    <w:spacing w:line="420" w:lineRule="auto"/>
                  </w:pPr>
                  <w:r>
                    <w:rPr>
                      <w:rFonts w:ascii="Arial" w:hAnsi="Arial" w:cs="Arial"/>
                      <w:color w:val="454545"/>
                      <w:sz w:val="23"/>
                      <w:szCs w:val="23"/>
                    </w:rPr>
                    <w:t>_ _ _ _ _ _ _ _ </w:t>
                  </w:r>
                </w:p>
              </w:tc>
            </w:tr>
            <w:tr w:rsidR="004E2A3D">
              <w:tc>
                <w:tcPr>
                  <w:tcW w:w="0" w:type="auto"/>
                  <w:tcMar>
                    <w:top w:w="150" w:type="dxa"/>
                    <w:left w:w="300" w:type="dxa"/>
                    <w:bottom w:w="150" w:type="dxa"/>
                    <w:right w:w="300" w:type="dxa"/>
                  </w:tcMar>
                  <w:vAlign w:val="center"/>
                  <w:hideMark/>
                </w:tcPr>
                <w:p w:rsidR="004E2A3D" w:rsidRDefault="004E2A3D">
                  <w:pPr>
                    <w:spacing w:line="420" w:lineRule="auto"/>
                  </w:pPr>
                  <w:r>
                    <w:rPr>
                      <w:rFonts w:ascii="Arial" w:hAnsi="Arial" w:cs="Arial"/>
                      <w:color w:val="454545"/>
                      <w:sz w:val="23"/>
                      <w:szCs w:val="23"/>
                    </w:rPr>
                    <w:t xml:space="preserve">Every organization is facing financial challenges during this unprecedented time, and every organization needs to monitor key financial indicators to help make decisions to weather the COVID-19 storm. </w:t>
                  </w:r>
                </w:p>
                <w:p w:rsidR="004E2A3D" w:rsidRDefault="004E2A3D">
                  <w:pPr>
                    <w:spacing w:line="420" w:lineRule="auto"/>
                  </w:pPr>
                  <w:r>
                    <w:rPr>
                      <w:rFonts w:ascii="Arial" w:hAnsi="Arial" w:cs="Arial"/>
                      <w:color w:val="454545"/>
                      <w:sz w:val="23"/>
                      <w:szCs w:val="23"/>
                    </w:rPr>
                    <w:t> </w:t>
                  </w:r>
                </w:p>
                <w:p w:rsidR="004E2A3D" w:rsidRDefault="004E2A3D">
                  <w:pPr>
                    <w:spacing w:line="420" w:lineRule="auto"/>
                  </w:pPr>
                  <w:r>
                    <w:rPr>
                      <w:rStyle w:val="Strong"/>
                      <w:rFonts w:ascii="Arial" w:hAnsi="Arial" w:cs="Arial"/>
                      <w:color w:val="454545"/>
                      <w:sz w:val="23"/>
                      <w:szCs w:val="23"/>
                    </w:rPr>
                    <w:t>BALANCE SHEET</w:t>
                  </w:r>
                </w:p>
                <w:p w:rsidR="004E2A3D" w:rsidRDefault="004E2A3D">
                  <w:pPr>
                    <w:spacing w:line="420" w:lineRule="auto"/>
                  </w:pPr>
                  <w:r>
                    <w:rPr>
                      <w:rFonts w:ascii="Arial" w:hAnsi="Arial" w:cs="Arial"/>
                      <w:color w:val="454545"/>
                      <w:sz w:val="23"/>
                      <w:szCs w:val="23"/>
                    </w:rPr>
                    <w:t>Now is the time to pay close attention to your balance sheet.  Are your current assets enough to pay your current liabilities?  While all three of the following ratios are valid indicators of your ability to meet your current obligations, the Cash Ratio only relies on cash in the bank and short term marketable securities as your sources of immediate funds, so it is the most aggressive ratio to monitor.</w:t>
                  </w:r>
                </w:p>
                <w:p w:rsidR="004E2A3D" w:rsidRDefault="004E2A3D">
                  <w:pPr>
                    <w:numPr>
                      <w:ilvl w:val="0"/>
                      <w:numId w:val="1"/>
                    </w:numPr>
                    <w:spacing w:line="420" w:lineRule="auto"/>
                    <w:rPr>
                      <w:color w:val="454545"/>
                    </w:rPr>
                  </w:pPr>
                  <w:r>
                    <w:rPr>
                      <w:rFonts w:ascii="Arial" w:hAnsi="Arial" w:cs="Arial"/>
                      <w:color w:val="454545"/>
                      <w:sz w:val="23"/>
                      <w:szCs w:val="23"/>
                    </w:rPr>
                    <w:t>Current Ratio = current assets / current liabilities</w:t>
                  </w:r>
                </w:p>
                <w:p w:rsidR="004E2A3D" w:rsidRDefault="004E2A3D">
                  <w:pPr>
                    <w:numPr>
                      <w:ilvl w:val="0"/>
                      <w:numId w:val="1"/>
                    </w:numPr>
                    <w:spacing w:line="420" w:lineRule="auto"/>
                    <w:rPr>
                      <w:color w:val="454545"/>
                    </w:rPr>
                  </w:pPr>
                  <w:r>
                    <w:rPr>
                      <w:rFonts w:ascii="Arial" w:hAnsi="Arial" w:cs="Arial"/>
                      <w:color w:val="454545"/>
                      <w:sz w:val="23"/>
                      <w:szCs w:val="23"/>
                    </w:rPr>
                    <w:t>Quick Ratio = (cash + short term marketable securities + accounts receivable) / current liabilities</w:t>
                  </w:r>
                </w:p>
                <w:p w:rsidR="004E2A3D" w:rsidRDefault="004E2A3D">
                  <w:pPr>
                    <w:numPr>
                      <w:ilvl w:val="0"/>
                      <w:numId w:val="1"/>
                    </w:numPr>
                    <w:spacing w:line="420" w:lineRule="auto"/>
                    <w:rPr>
                      <w:color w:val="454545"/>
                    </w:rPr>
                  </w:pPr>
                  <w:r>
                    <w:rPr>
                      <w:rFonts w:ascii="Arial" w:hAnsi="Arial" w:cs="Arial"/>
                      <w:color w:val="454545"/>
                      <w:sz w:val="23"/>
                      <w:szCs w:val="23"/>
                    </w:rPr>
                    <w:t>Cash Ratio = (cash + short term marketable securities) / current liabilities</w:t>
                  </w:r>
                </w:p>
                <w:p w:rsidR="004E2A3D" w:rsidRDefault="004E2A3D">
                  <w:pPr>
                    <w:spacing w:line="420" w:lineRule="auto"/>
                  </w:pPr>
                  <w:r>
                    <w:rPr>
                      <w:rStyle w:val="Strong"/>
                      <w:rFonts w:ascii="Arial" w:hAnsi="Arial" w:cs="Arial"/>
                      <w:color w:val="454545"/>
                      <w:sz w:val="23"/>
                      <w:szCs w:val="23"/>
                    </w:rPr>
                    <w:t>CASH FLOW</w:t>
                  </w:r>
                </w:p>
                <w:p w:rsidR="004E2A3D" w:rsidRDefault="004E2A3D">
                  <w:pPr>
                    <w:spacing w:line="420" w:lineRule="auto"/>
                  </w:pPr>
                  <w:r>
                    <w:rPr>
                      <w:rFonts w:ascii="Arial" w:hAnsi="Arial" w:cs="Arial"/>
                      <w:color w:val="454545"/>
                      <w:sz w:val="23"/>
                      <w:szCs w:val="23"/>
                    </w:rPr>
                    <w:t>It is also critically important to closely monitor cash flow more diligently than ever; watch it daily and prepare a rolling 13-week cash flow forecast.  You will quickly see when you will be facing the biggest drain on your cash position, which will help you develop strategies for addressing those periods of cash deficits.</w:t>
                  </w:r>
                </w:p>
                <w:p w:rsidR="004E2A3D" w:rsidRDefault="004E2A3D">
                  <w:pPr>
                    <w:spacing w:line="420" w:lineRule="auto"/>
                  </w:pPr>
                  <w:r>
                    <w:rPr>
                      <w:rFonts w:ascii="Arial" w:hAnsi="Arial" w:cs="Arial"/>
                      <w:color w:val="454545"/>
                      <w:sz w:val="23"/>
                      <w:szCs w:val="23"/>
                    </w:rPr>
                    <w:t> </w:t>
                  </w:r>
                </w:p>
                <w:p w:rsidR="004E2A3D" w:rsidRDefault="004E2A3D">
                  <w:pPr>
                    <w:spacing w:line="420" w:lineRule="auto"/>
                  </w:pPr>
                  <w:r>
                    <w:rPr>
                      <w:rFonts w:ascii="Arial" w:hAnsi="Arial" w:cs="Arial"/>
                      <w:color w:val="454545"/>
                      <w:sz w:val="23"/>
                      <w:szCs w:val="23"/>
                    </w:rPr>
                    <w:lastRenderedPageBreak/>
                    <w:t>Now is also the time to count on your trusted relationships to do their part to assist.  Talk with your bankers to establish a line of credit.  Negotiate an extension of the payment terms for any existing debt with your lender.  If you are subject to any debt covenants, ask for a suspension of those requirements until the organization can get its operations back to full capacity.  Talk with vendors about establishing extended payment arrangements. Talk with your key funding sources about the option to maintain previous level of payments for the next ninety days.  It does not cost you anything to ask!</w:t>
                  </w:r>
                </w:p>
                <w:p w:rsidR="004E2A3D" w:rsidRDefault="004E2A3D">
                  <w:pPr>
                    <w:spacing w:line="420" w:lineRule="auto"/>
                  </w:pPr>
                  <w:r>
                    <w:rPr>
                      <w:rStyle w:val="Strong"/>
                      <w:rFonts w:ascii="Arial" w:hAnsi="Arial" w:cs="Arial"/>
                      <w:color w:val="454545"/>
                      <w:sz w:val="23"/>
                      <w:szCs w:val="23"/>
                    </w:rPr>
                    <w:t>INCOME STATEMENT</w:t>
                  </w:r>
                </w:p>
                <w:p w:rsidR="004E2A3D" w:rsidRDefault="004E2A3D">
                  <w:pPr>
                    <w:spacing w:line="420" w:lineRule="auto"/>
                  </w:pPr>
                  <w:r>
                    <w:rPr>
                      <w:rFonts w:ascii="Arial" w:hAnsi="Arial" w:cs="Arial"/>
                      <w:color w:val="454545"/>
                      <w:sz w:val="23"/>
                      <w:szCs w:val="23"/>
                    </w:rPr>
                    <w:t>You also have to pay attention to your income statement.  Pull in your key program leaders to help update the revenue and expense projections for the organization.  While some services can be provided virtually, and the payers have eased up the requirements for billing those services, you are going to see a downturn in your revenues.  So, cutting or deferring expenses will be necessary. You will be surprised how much cost you can cut or defer when you look at your recent expenses in detail.  Defer capital expenditures that are not critical during this period.  You will likely not be recruiting new staff, so any expenses related to training and recruitment can be eliminated from the forecast.</w:t>
                  </w:r>
                </w:p>
                <w:p w:rsidR="004E2A3D" w:rsidRDefault="004E2A3D">
                  <w:pPr>
                    <w:spacing w:line="420" w:lineRule="auto"/>
                  </w:pPr>
                  <w:r>
                    <w:rPr>
                      <w:rFonts w:ascii="Arial" w:hAnsi="Arial" w:cs="Arial"/>
                      <w:color w:val="454545"/>
                      <w:sz w:val="23"/>
                      <w:szCs w:val="23"/>
                    </w:rPr>
                    <w:t> </w:t>
                  </w:r>
                </w:p>
                <w:p w:rsidR="004E2A3D" w:rsidRDefault="004E2A3D">
                  <w:pPr>
                    <w:spacing w:line="420" w:lineRule="auto"/>
                  </w:pPr>
                  <w:r>
                    <w:rPr>
                      <w:rStyle w:val="Strong"/>
                      <w:rFonts w:ascii="Arial" w:hAnsi="Arial" w:cs="Arial"/>
                      <w:color w:val="454545"/>
                      <w:sz w:val="23"/>
                      <w:szCs w:val="23"/>
                    </w:rPr>
                    <w:t>FUNDRAISING </w:t>
                  </w:r>
                </w:p>
                <w:p w:rsidR="004E2A3D" w:rsidRDefault="004E2A3D">
                  <w:pPr>
                    <w:spacing w:line="420" w:lineRule="auto"/>
                  </w:pPr>
                  <w:r>
                    <w:rPr>
                      <w:rFonts w:ascii="Arial" w:hAnsi="Arial" w:cs="Arial"/>
                      <w:color w:val="454545"/>
                      <w:sz w:val="23"/>
                      <w:szCs w:val="23"/>
                    </w:rPr>
                    <w:t>Now is also a good time to think outside the box.  Get creative and hold your fundraising events virtually.  Yes, you may not generate as much revenue, but you will also not be incurring as much cost.  Ask key donors to advance their normal end-of-year gifts.  Again, it does not cost you anything to ask!</w:t>
                  </w:r>
                </w:p>
                <w:p w:rsidR="004E2A3D" w:rsidRDefault="004E2A3D">
                  <w:pPr>
                    <w:spacing w:line="420" w:lineRule="auto"/>
                  </w:pPr>
                  <w:r>
                    <w:rPr>
                      <w:rFonts w:ascii="Arial" w:hAnsi="Arial" w:cs="Arial"/>
                      <w:color w:val="454545"/>
                      <w:sz w:val="23"/>
                      <w:szCs w:val="23"/>
                    </w:rPr>
                    <w:t> </w:t>
                  </w:r>
                </w:p>
                <w:p w:rsidR="004E2A3D" w:rsidRDefault="004E2A3D">
                  <w:pPr>
                    <w:spacing w:line="420" w:lineRule="auto"/>
                  </w:pPr>
                  <w:r>
                    <w:rPr>
                      <w:rFonts w:ascii="Arial" w:hAnsi="Arial" w:cs="Arial"/>
                      <w:color w:val="454545"/>
                      <w:sz w:val="23"/>
                      <w:szCs w:val="23"/>
                    </w:rPr>
                    <w:t>You have a great deal of responsibility for the clients you serve and the staff you employ, so I hope this message was helpful as you develop your game plan.  If you would like to schedule a time to talk in person, please do not hesitate to reach out to me directly.</w:t>
                  </w:r>
                </w:p>
                <w:p w:rsidR="004E2A3D" w:rsidRDefault="004E2A3D">
                  <w:pPr>
                    <w:spacing w:line="420" w:lineRule="auto"/>
                  </w:pPr>
                  <w:r>
                    <w:rPr>
                      <w:rFonts w:ascii="Arial" w:hAnsi="Arial" w:cs="Arial"/>
                      <w:color w:val="454545"/>
                      <w:sz w:val="23"/>
                      <w:szCs w:val="23"/>
                    </w:rPr>
                    <w:t> </w:t>
                  </w:r>
                </w:p>
                <w:p w:rsidR="004E2A3D" w:rsidRDefault="004E2A3D">
                  <w:pPr>
                    <w:spacing w:line="420" w:lineRule="auto"/>
                  </w:pPr>
                  <w:r>
                    <w:rPr>
                      <w:rFonts w:ascii="Arial" w:hAnsi="Arial" w:cs="Arial"/>
                      <w:color w:val="454545"/>
                      <w:sz w:val="23"/>
                      <w:szCs w:val="23"/>
                    </w:rPr>
                    <w:t xml:space="preserve">Cynthia </w:t>
                  </w:r>
                  <w:proofErr w:type="spellStart"/>
                  <w:r>
                    <w:rPr>
                      <w:rFonts w:ascii="Arial" w:hAnsi="Arial" w:cs="Arial"/>
                      <w:color w:val="454545"/>
                      <w:sz w:val="23"/>
                      <w:szCs w:val="23"/>
                    </w:rPr>
                    <w:t>Sikina</w:t>
                  </w:r>
                  <w:proofErr w:type="spellEnd"/>
                  <w:r>
                    <w:rPr>
                      <w:rFonts w:ascii="Arial" w:hAnsi="Arial" w:cs="Arial"/>
                      <w:color w:val="454545"/>
                      <w:sz w:val="23"/>
                      <w:szCs w:val="23"/>
                    </w:rPr>
                    <w:t> </w:t>
                  </w:r>
                </w:p>
                <w:p w:rsidR="004E2A3D" w:rsidRDefault="004E2A3D">
                  <w:pPr>
                    <w:spacing w:line="420" w:lineRule="auto"/>
                  </w:pPr>
                  <w:r>
                    <w:rPr>
                      <w:rFonts w:ascii="Arial" w:hAnsi="Arial" w:cs="Arial"/>
                      <w:color w:val="454545"/>
                      <w:sz w:val="23"/>
                      <w:szCs w:val="23"/>
                    </w:rPr>
                    <w:t>Vice President, Financial Strategy</w:t>
                  </w:r>
                </w:p>
                <w:p w:rsidR="004E2A3D" w:rsidRDefault="004E2A3D" w:rsidP="004E2A3D">
                  <w:pPr>
                    <w:spacing w:line="420" w:lineRule="auto"/>
                  </w:pPr>
                  <w:r>
                    <w:rPr>
                      <w:rFonts w:ascii="Arial" w:hAnsi="Arial" w:cs="Arial"/>
                      <w:color w:val="454545"/>
                      <w:sz w:val="23"/>
                      <w:szCs w:val="23"/>
                    </w:rPr>
                    <w:t>csikina@afiahealth.com </w:t>
                  </w:r>
                  <w:bookmarkStart w:id="0" w:name="_GoBack"/>
                  <w:bookmarkEnd w:id="0"/>
                </w:p>
              </w:tc>
            </w:tr>
          </w:tbl>
          <w:p w:rsidR="004E2A3D" w:rsidRDefault="004E2A3D">
            <w:pPr>
              <w:shd w:val="clear" w:color="auto" w:fill="FFFFFF"/>
            </w:pPr>
            <w:r>
              <w:rPr>
                <w:rFonts w:ascii="Arial" w:hAnsi="Arial" w:cs="Arial"/>
                <w:vanish/>
                <w:color w:val="454545"/>
                <w:sz w:val="23"/>
                <w:szCs w:val="23"/>
              </w:rPr>
              <w:lastRenderedPageBreak/>
              <w:t> </w:t>
            </w:r>
          </w:p>
          <w:tbl>
            <w:tblPr>
              <w:tblW w:w="5000" w:type="pct"/>
              <w:tblLook w:val="04A0" w:firstRow="1" w:lastRow="0" w:firstColumn="1" w:lastColumn="0" w:noHBand="0" w:noVBand="1"/>
            </w:tblPr>
            <w:tblGrid>
              <w:gridCol w:w="10800"/>
            </w:tblGrid>
            <w:tr w:rsidR="004E2A3D">
              <w:tc>
                <w:tcPr>
                  <w:tcW w:w="0" w:type="auto"/>
                  <w:tcMar>
                    <w:top w:w="150" w:type="dxa"/>
                    <w:left w:w="300" w:type="dxa"/>
                    <w:bottom w:w="150" w:type="dxa"/>
                    <w:right w:w="300" w:type="dxa"/>
                  </w:tcMar>
                  <w:hideMark/>
                </w:tcPr>
                <w:p w:rsidR="004E2A3D" w:rsidRDefault="004E2A3D"/>
              </w:tc>
            </w:tr>
            <w:tr w:rsidR="004E2A3D">
              <w:tc>
                <w:tcPr>
                  <w:tcW w:w="0" w:type="auto"/>
                  <w:tcMar>
                    <w:top w:w="150" w:type="dxa"/>
                    <w:left w:w="300" w:type="dxa"/>
                    <w:bottom w:w="150" w:type="dxa"/>
                    <w:right w:w="300" w:type="dxa"/>
                  </w:tcMar>
                  <w:vAlign w:val="center"/>
                  <w:hideMark/>
                </w:tcPr>
                <w:p w:rsidR="004E2A3D" w:rsidRDefault="004E2A3D">
                  <w:pPr>
                    <w:spacing w:line="420" w:lineRule="auto"/>
                  </w:pPr>
                </w:p>
                <w:p w:rsidR="004E2A3D" w:rsidRDefault="004E2A3D">
                  <w:pPr>
                    <w:spacing w:line="420" w:lineRule="auto"/>
                  </w:pPr>
                  <w:r>
                    <w:rPr>
                      <w:rFonts w:ascii="Arial" w:hAnsi="Arial" w:cs="Arial"/>
                      <w:color w:val="454545"/>
                      <w:sz w:val="23"/>
                      <w:szCs w:val="23"/>
                    </w:rPr>
                    <w:t> </w:t>
                  </w:r>
                </w:p>
              </w:tc>
            </w:tr>
          </w:tbl>
          <w:p w:rsidR="004E2A3D" w:rsidRDefault="004E2A3D">
            <w:pPr>
              <w:shd w:val="clear" w:color="auto" w:fill="FFFFFF"/>
            </w:pPr>
            <w:r>
              <w:rPr>
                <w:rFonts w:ascii="Arial" w:hAnsi="Arial" w:cs="Arial"/>
                <w:vanish/>
                <w:color w:val="454545"/>
                <w:sz w:val="23"/>
                <w:szCs w:val="23"/>
              </w:rPr>
              <w:t> </w:t>
            </w:r>
          </w:p>
          <w:tbl>
            <w:tblPr>
              <w:tblW w:w="5000" w:type="pct"/>
              <w:tblLook w:val="04A0" w:firstRow="1" w:lastRow="0" w:firstColumn="1" w:lastColumn="0" w:noHBand="0" w:noVBand="1"/>
            </w:tblPr>
            <w:tblGrid>
              <w:gridCol w:w="10800"/>
            </w:tblGrid>
            <w:tr w:rsidR="004E2A3D">
              <w:tc>
                <w:tcPr>
                  <w:tcW w:w="0" w:type="auto"/>
                  <w:tcMar>
                    <w:top w:w="150" w:type="dxa"/>
                    <w:left w:w="300" w:type="dxa"/>
                    <w:bottom w:w="150" w:type="dxa"/>
                    <w:right w:w="300" w:type="dxa"/>
                  </w:tcMar>
                  <w:vAlign w:val="center"/>
                  <w:hideMark/>
                </w:tcPr>
                <w:p w:rsidR="004E2A3D" w:rsidRDefault="004E2A3D"/>
              </w:tc>
            </w:tr>
            <w:tr w:rsidR="004E2A3D">
              <w:tc>
                <w:tcPr>
                  <w:tcW w:w="0" w:type="auto"/>
                  <w:tcMar>
                    <w:top w:w="150" w:type="dxa"/>
                    <w:left w:w="300" w:type="dxa"/>
                    <w:bottom w:w="150" w:type="dxa"/>
                    <w:right w:w="300" w:type="dxa"/>
                  </w:tcMar>
                  <w:vAlign w:val="center"/>
                  <w:hideMark/>
                </w:tcPr>
                <w:tbl>
                  <w:tblPr>
                    <w:tblpPr w:leftFromText="45" w:rightFromText="45" w:vertAnchor="text" w:tblpXSpec="right" w:tblpYSpec="center"/>
                    <w:tblW w:w="0" w:type="dxa"/>
                    <w:tblLook w:val="04A0" w:firstRow="1" w:lastRow="0" w:firstColumn="1" w:lastColumn="0" w:noHBand="0" w:noVBand="1"/>
                  </w:tblPr>
                  <w:tblGrid>
                    <w:gridCol w:w="36"/>
                  </w:tblGrid>
                  <w:tr w:rsidR="004E2A3D">
                    <w:tc>
                      <w:tcPr>
                        <w:tcW w:w="0" w:type="auto"/>
                        <w:tcMar>
                          <w:top w:w="15" w:type="dxa"/>
                          <w:left w:w="15" w:type="dxa"/>
                          <w:bottom w:w="15" w:type="dxa"/>
                          <w:right w:w="15" w:type="dxa"/>
                        </w:tcMar>
                        <w:vAlign w:val="center"/>
                        <w:hideMark/>
                      </w:tcPr>
                      <w:p w:rsidR="004E2A3D" w:rsidRDefault="004E2A3D">
                        <w:pPr>
                          <w:rPr>
                            <w:sz w:val="20"/>
                            <w:szCs w:val="20"/>
                          </w:rPr>
                        </w:pPr>
                      </w:p>
                    </w:tc>
                  </w:tr>
                </w:tbl>
                <w:p w:rsidR="004E2A3D" w:rsidRDefault="004E2A3D"/>
              </w:tc>
            </w:tr>
          </w:tbl>
          <w:p w:rsidR="004E2A3D" w:rsidRDefault="004E2A3D">
            <w:r>
              <w:rPr>
                <w:rFonts w:ascii="Arial" w:hAnsi="Arial" w:cs="Arial"/>
                <w:vanish/>
                <w:color w:val="454545"/>
                <w:sz w:val="23"/>
                <w:szCs w:val="23"/>
              </w:rPr>
              <w:t> </w:t>
            </w:r>
          </w:p>
          <w:tbl>
            <w:tblPr>
              <w:tblW w:w="5000" w:type="pct"/>
              <w:jc w:val="center"/>
              <w:tblLook w:val="04A0" w:firstRow="1" w:lastRow="0" w:firstColumn="1" w:lastColumn="0" w:noHBand="0" w:noVBand="1"/>
            </w:tblPr>
            <w:tblGrid>
              <w:gridCol w:w="10800"/>
            </w:tblGrid>
            <w:tr w:rsidR="004E2A3D" w:rsidTr="004E2A3D">
              <w:trPr>
                <w:trHeight w:val="1047"/>
                <w:jc w:val="center"/>
              </w:trPr>
              <w:tc>
                <w:tcPr>
                  <w:tcW w:w="0" w:type="auto"/>
                  <w:tcMar>
                    <w:top w:w="150" w:type="dxa"/>
                    <w:left w:w="300" w:type="dxa"/>
                    <w:bottom w:w="150" w:type="dxa"/>
                    <w:right w:w="300" w:type="dxa"/>
                  </w:tcMar>
                  <w:hideMark/>
                </w:tcPr>
                <w:p w:rsidR="004E2A3D" w:rsidRDefault="004E2A3D" w:rsidP="004E2A3D">
                  <w:pPr>
                    <w:pStyle w:val="NormalWeb"/>
                    <w:spacing w:line="324" w:lineRule="auto"/>
                  </w:pPr>
                </w:p>
              </w:tc>
            </w:tr>
          </w:tbl>
          <w:p w:rsidR="004E2A3D" w:rsidRDefault="004E2A3D">
            <w:pPr>
              <w:jc w:val="center"/>
            </w:pPr>
          </w:p>
        </w:tc>
      </w:tr>
    </w:tbl>
    <w:p w:rsidR="00911DCE" w:rsidRDefault="00911DCE"/>
    <w:sectPr w:rsidR="00911DCE" w:rsidSect="004E2A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B1C61"/>
    <w:multiLevelType w:val="multilevel"/>
    <w:tmpl w:val="D466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3D"/>
    <w:rsid w:val="004E2A3D"/>
    <w:rsid w:val="0091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0406"/>
  <w15:chartTrackingRefBased/>
  <w15:docId w15:val="{2BBF20E2-3DD1-4314-BC80-64B10810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A3D"/>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2A3D"/>
    <w:rPr>
      <w:color w:val="0000FF"/>
      <w:u w:val="single"/>
    </w:rPr>
  </w:style>
  <w:style w:type="paragraph" w:styleId="NormalWeb">
    <w:name w:val="Normal (Web)"/>
    <w:basedOn w:val="Normal"/>
    <w:uiPriority w:val="99"/>
    <w:semiHidden/>
    <w:unhideWhenUsed/>
    <w:rsid w:val="004E2A3D"/>
    <w:rPr>
      <w:rFonts w:ascii="Calibri" w:hAnsi="Calibri" w:cs="Calibri"/>
    </w:rPr>
  </w:style>
  <w:style w:type="character" w:styleId="Strong">
    <w:name w:val="Strong"/>
    <w:basedOn w:val="DefaultParagraphFont"/>
    <w:uiPriority w:val="22"/>
    <w:qFormat/>
    <w:rsid w:val="004E2A3D"/>
    <w:rPr>
      <w:b/>
      <w:bCs/>
    </w:rPr>
  </w:style>
  <w:style w:type="character" w:styleId="Emphasis">
    <w:name w:val="Emphasis"/>
    <w:basedOn w:val="DefaultParagraphFont"/>
    <w:uiPriority w:val="20"/>
    <w:qFormat/>
    <w:rsid w:val="004E2A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72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afiahealth.com/e2t/c/%2aVgy_BV5H0S1VW7ZBgXQ2bVh-V0/%2aW6syLxk6pmC7lW4lcGR35jsPJk0/5/f18dQhb0Sq5H4fpcsLW5YD3yL2qwv15W32hqJJ3Fd1XmVf5cVM57mvFqW3BJFQw7b6l4nW57V2mv5l93TRW9cYnQF61xRCYW3q2hpD98RvntW1mbT-t6RwTFSW5CR9zF90G7thN8S3yR5bY02SW4s8btj3zCRWvW1bnTsn7JCxGlW81bhDK7N_KqMW11X6sN83KHrFW7J3nFC2-kyPxW9dH8_66V4m9NN33msMLBdQ1DW52Ylfx3_8mplW9fgwMT4fd8hmW8X28l08X4v5RW75mVw64zLqlCN85YhNkrb---W8VbxDf2qmRQFW2qM79W4dCxwPMpKZkkwcpP3W4bp2-J585kY2W6xhBcy5JYZx9W8hqSjt8WlXCVN4c_2hYpjyYGW54WFtJ2KVZRkW4dy0Zm7K2lH3W1HGvQQ7r__2-W2bv5VJ8WxjyjW7lbVRX4Vrd15D6Y9ktTrJkW5xBFXQ3M6NSzW5RGZgX7d03q9W50q-XZ7n0TdvN4s2wngsk4dRW3BBpw18H3YdCW8NqK7G56fqQXW41NqJN6D1RvMW2B9qkX7xXPbHW66_qjX3xWwfqKkx6hLFgS10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Raad</dc:creator>
  <cp:keywords/>
  <dc:description/>
  <cp:lastModifiedBy>Sandra Raad</cp:lastModifiedBy>
  <cp:revision>1</cp:revision>
  <dcterms:created xsi:type="dcterms:W3CDTF">2020-03-25T12:55:00Z</dcterms:created>
  <dcterms:modified xsi:type="dcterms:W3CDTF">2020-03-25T13:01:00Z</dcterms:modified>
</cp:coreProperties>
</file>